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公筷益走迎大运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邀请函</w:t>
      </w:r>
    </w:p>
    <w:p>
      <w:pPr>
        <w:pStyle w:val="9"/>
        <w:spacing w:line="360" w:lineRule="auto"/>
        <w:ind w:left="482"/>
        <w:rPr>
          <w:szCs w:val="21"/>
        </w:rPr>
      </w:pPr>
      <w:r>
        <w:rPr>
          <w:rFonts w:hint="eastAsia"/>
          <w:szCs w:val="21"/>
        </w:rPr>
        <w:t>习近平总书记在全国宣传思想工作会议上强调，要推进新时代文明实践中心建设，不断提升人民思想觉悟、道德水准、文明素养和全社会文明程度。加强对健康理念和传染病防控知识的宣传教育，教育引导广大人民群众提高文明素质和自我保护能力，养成文明健康绿色环保的新生活习惯，积极推进文明生态环境建设，这既是做好当前疫情防控工作的现实启示，也是新时代文明实践的长远要求。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bCs/>
          <w:szCs w:val="21"/>
        </w:rPr>
        <w:t>新时代文明实践的价值主张主要有三点：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①</w:t>
      </w:r>
      <w:r>
        <w:rPr>
          <w:rFonts w:hint="eastAsia"/>
          <w:b/>
          <w:bCs/>
          <w:szCs w:val="21"/>
        </w:rPr>
        <w:t>健康，公筷是疫中保护；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②</w:t>
      </w:r>
      <w:r>
        <w:rPr>
          <w:rFonts w:hint="eastAsia"/>
          <w:b/>
          <w:bCs/>
          <w:szCs w:val="21"/>
        </w:rPr>
        <w:t>环保，订外卖就用自己的筷子；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③</w:t>
      </w:r>
      <w:r>
        <w:rPr>
          <w:rFonts w:hint="eastAsia"/>
          <w:b/>
          <w:bCs/>
          <w:szCs w:val="21"/>
        </w:rPr>
        <w:t>节约：杜绝筷头下的浪费</w:t>
      </w:r>
      <w:r>
        <w:rPr>
          <w:rFonts w:hint="eastAsia"/>
          <w:szCs w:val="21"/>
        </w:rPr>
        <w:t xml:space="preserve">。 </w:t>
      </w:r>
    </w:p>
    <w:p>
      <w:pPr>
        <w:pStyle w:val="9"/>
        <w:spacing w:line="360" w:lineRule="auto"/>
        <w:ind w:left="482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74930</wp:posOffset>
            </wp:positionV>
            <wp:extent cx="6082665" cy="30575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" t="18671" r="4364" b="18354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成都是世界青年的向往，以海纳百川的城市胸怀展示着“创新创造、优雅时尚、乐观包容、友善公益”的天府文化。大运会的举办，不仅点亮了成都的体育梦想，也更进一步密切了成都与世界的联系。</w:t>
      </w:r>
    </w:p>
    <w:p>
      <w:pPr>
        <w:pStyle w:val="9"/>
        <w:spacing w:line="360" w:lineRule="auto"/>
        <w:ind w:left="482"/>
        <w:rPr>
          <w:szCs w:val="21"/>
        </w:rPr>
      </w:pPr>
      <w:r>
        <w:rPr>
          <w:rFonts w:hint="eastAsia"/>
          <w:szCs w:val="21"/>
        </w:rPr>
        <w:t>疫情期间，电子科大慈善与社会企业研究中心一直倡导公筷的使用，倡导更加环保、健康的生活方式。结合2021年的成都大运会，特筹划此次“公筷益走迎大运”之双十一活动，目的在于通过此次活动将健康、环保、节约等理念融入居民的幸福生活。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szCs w:val="21"/>
        </w:rPr>
        <w:t>指导单位：</w:t>
      </w:r>
      <w:r>
        <w:rPr>
          <w:rFonts w:hint="eastAsia"/>
          <w:szCs w:val="21"/>
        </w:rPr>
        <w:t>成都市精神文明办公室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szCs w:val="21"/>
        </w:rPr>
        <w:t>主办单位：</w:t>
      </w:r>
      <w:r>
        <w:rPr>
          <w:rFonts w:hint="eastAsia"/>
          <w:szCs w:val="21"/>
        </w:rPr>
        <w:t>高新区合作街道办事处、电子科技大学工会、成都市志愿服务联合会、电子科大慈善与社会企业研究中心、</w:t>
      </w:r>
    </w:p>
    <w:p>
      <w:pPr>
        <w:pStyle w:val="9"/>
        <w:spacing w:line="360" w:lineRule="auto"/>
        <w:ind w:left="482" w:firstLine="422"/>
        <w:rPr>
          <w:rFonts w:hint="eastAsia"/>
          <w:szCs w:val="21"/>
        </w:rPr>
      </w:pPr>
      <w:r>
        <w:rPr>
          <w:rFonts w:hint="eastAsia"/>
          <w:b/>
          <w:szCs w:val="21"/>
        </w:rPr>
        <w:t>承办单位：</w:t>
      </w:r>
      <w:r>
        <w:rPr>
          <w:rFonts w:hint="eastAsia"/>
          <w:szCs w:val="21"/>
        </w:rPr>
        <w:t>清江社区、天齐锂业股份有限公司、迈克生物股份有限公司、全民公筷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szCs w:val="21"/>
        </w:rPr>
        <w:t>协办单位：</w:t>
      </w:r>
      <w:r>
        <w:rPr>
          <w:rFonts w:hint="eastAsia"/>
          <w:szCs w:val="21"/>
        </w:rPr>
        <w:t>中国外贸信托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szCs w:val="21"/>
        </w:rPr>
        <w:t>冠名单位：</w:t>
      </w:r>
      <w:r>
        <w:rPr>
          <w:rFonts w:hint="eastAsia"/>
          <w:szCs w:val="21"/>
        </w:rPr>
        <w:t>迈克生物股份有限公司</w:t>
      </w:r>
    </w:p>
    <w:p>
      <w:pPr>
        <w:pStyle w:val="9"/>
        <w:spacing w:line="360" w:lineRule="auto"/>
        <w:ind w:left="482" w:firstLine="422"/>
        <w:rPr>
          <w:rFonts w:hint="eastAsia"/>
          <w:szCs w:val="21"/>
        </w:rPr>
      </w:pPr>
      <w:r>
        <w:rPr>
          <w:rFonts w:hint="eastAsia"/>
          <w:b/>
          <w:szCs w:val="21"/>
        </w:rPr>
        <w:t>赞助单位：</w:t>
      </w:r>
      <w:r>
        <w:rPr>
          <w:rFonts w:hint="eastAsia"/>
          <w:szCs w:val="21"/>
        </w:rPr>
        <w:t>三联家禽、六婆餐饮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szCs w:val="21"/>
        </w:rPr>
        <w:t>支持单位：</w:t>
      </w:r>
      <w:r>
        <w:rPr>
          <w:rFonts w:hint="eastAsia"/>
          <w:szCs w:val="21"/>
        </w:rPr>
        <w:t>四川省红十字基金会、三峡集团、学境教育咨询社会企业成都有限公司、殊德医馆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szCs w:val="21"/>
        </w:rPr>
        <w:t>活动时间：</w:t>
      </w:r>
      <w:r>
        <w:rPr>
          <w:rFonts w:hint="eastAsia"/>
          <w:szCs w:val="21"/>
        </w:rPr>
        <w:t>2020年11月11日14:00—17:30</w:t>
      </w:r>
    </w:p>
    <w:p>
      <w:pPr>
        <w:pStyle w:val="9"/>
        <w:spacing w:line="360" w:lineRule="auto"/>
        <w:ind w:left="482" w:firstLine="422"/>
        <w:rPr>
          <w:szCs w:val="21"/>
        </w:rPr>
      </w:pPr>
      <w:r>
        <w:rPr>
          <w:rFonts w:hint="eastAsia"/>
          <w:b/>
          <w:szCs w:val="21"/>
        </w:rPr>
        <w:t>活动地点：</w:t>
      </w:r>
      <w:r>
        <w:rPr>
          <w:rFonts w:hint="eastAsia"/>
          <w:szCs w:val="21"/>
        </w:rPr>
        <w:t>美丽的清水河公园（电子科大附小对面）</w:t>
      </w:r>
    </w:p>
    <w:p>
      <w:pPr>
        <w:pStyle w:val="9"/>
        <w:spacing w:line="360" w:lineRule="auto"/>
        <w:ind w:left="480" w:firstLine="422"/>
        <w:rPr>
          <w:b/>
          <w:szCs w:val="21"/>
        </w:rPr>
      </w:pPr>
      <w:r>
        <w:rPr>
          <w:rFonts w:hint="eastAsia"/>
          <w:b/>
          <w:szCs w:val="21"/>
        </w:rPr>
        <w:t>参与方式</w:t>
      </w:r>
    </w:p>
    <w:p>
      <w:pPr>
        <w:pStyle w:val="9"/>
        <w:spacing w:line="360" w:lineRule="auto"/>
        <w:ind w:left="480"/>
        <w:rPr>
          <w:szCs w:val="21"/>
        </w:rPr>
      </w:pPr>
      <w:r>
        <w:rPr>
          <w:rFonts w:hint="eastAsia"/>
          <w:szCs w:val="21"/>
        </w:rPr>
        <w:t>以单位为组进行报名，每组6人，男女各3人。公筷益走路线含有“金木水火土”五个“筷”乐主题站点，每个站点完成闯关游戏，并凭当日不同运动工具，如微信运动“11011”步（约5公里）截图即完成公筷益走迎大运的抽奖活动。</w:t>
      </w:r>
    </w:p>
    <w:p>
      <w:pPr>
        <w:pStyle w:val="9"/>
        <w:spacing w:line="360" w:lineRule="auto"/>
        <w:ind w:left="480" w:firstLine="480"/>
        <w:rPr>
          <w:szCs w:val="21"/>
        </w:rPr>
      </w:pPr>
      <w:r>
        <w:rPr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566420</wp:posOffset>
            </wp:positionV>
            <wp:extent cx="2612390" cy="195262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4" t="6764" r="3287" b="23187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具体站点游戏为：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①</w:t>
      </w:r>
      <w:r>
        <w:rPr>
          <w:rFonts w:hint="eastAsia"/>
          <w:szCs w:val="21"/>
        </w:rPr>
        <w:t xml:space="preserve">“筷”去“筷”回 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②</w:t>
      </w:r>
      <w:r>
        <w:rPr>
          <w:rFonts w:hint="eastAsia"/>
          <w:szCs w:val="21"/>
        </w:rPr>
        <w:t xml:space="preserve">蓉宝“筷”跑 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③</w:t>
      </w:r>
      <w:r>
        <w:rPr>
          <w:rFonts w:hint="eastAsia"/>
          <w:szCs w:val="21"/>
        </w:rPr>
        <w:t xml:space="preserve">“筷”享健康 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④</w:t>
      </w:r>
      <w:r>
        <w:rPr>
          <w:rFonts w:hint="eastAsia"/>
          <w:szCs w:val="21"/>
        </w:rPr>
        <w:t xml:space="preserve">“筷”乐投壶 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⑤</w:t>
      </w:r>
      <w:r>
        <w:rPr>
          <w:rFonts w:hint="eastAsia"/>
          <w:szCs w:val="21"/>
        </w:rPr>
        <w:t>“筷”语“筷”递</w:t>
      </w:r>
    </w:p>
    <w:p>
      <w:pPr>
        <w:pStyle w:val="9"/>
        <w:spacing w:line="360" w:lineRule="auto"/>
        <w:ind w:left="480"/>
        <w:jc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85725</wp:posOffset>
            </wp:positionV>
            <wp:extent cx="2009775" cy="191262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9"/>
        <w:spacing w:line="360" w:lineRule="auto"/>
        <w:ind w:left="480"/>
        <w:jc w:val="center"/>
        <w:rPr>
          <w:szCs w:val="21"/>
        </w:rPr>
      </w:pPr>
    </w:p>
    <w:p>
      <w:pPr>
        <w:pStyle w:val="9"/>
        <w:spacing w:line="360" w:lineRule="auto"/>
        <w:ind w:left="480"/>
        <w:jc w:val="center"/>
        <w:rPr>
          <w:szCs w:val="21"/>
        </w:rPr>
      </w:pPr>
    </w:p>
    <w:p>
      <w:pPr>
        <w:pStyle w:val="9"/>
        <w:spacing w:line="360" w:lineRule="auto"/>
        <w:ind w:left="480"/>
        <w:jc w:val="center"/>
        <w:rPr>
          <w:szCs w:val="21"/>
        </w:rPr>
      </w:pPr>
    </w:p>
    <w:p>
      <w:pPr>
        <w:pStyle w:val="9"/>
        <w:spacing w:line="360" w:lineRule="auto"/>
        <w:ind w:left="480"/>
        <w:jc w:val="center"/>
        <w:rPr>
          <w:szCs w:val="21"/>
        </w:rPr>
      </w:pPr>
    </w:p>
    <w:p>
      <w:pPr>
        <w:pStyle w:val="9"/>
        <w:spacing w:line="360" w:lineRule="auto"/>
        <w:ind w:left="480"/>
        <w:jc w:val="center"/>
        <w:rPr>
          <w:szCs w:val="21"/>
        </w:rPr>
      </w:pPr>
    </w:p>
    <w:p>
      <w:pPr>
        <w:pStyle w:val="9"/>
        <w:spacing w:line="360" w:lineRule="auto"/>
        <w:ind w:left="480"/>
        <w:jc w:val="center"/>
        <w:rPr>
          <w:szCs w:val="21"/>
        </w:rPr>
      </w:pPr>
    </w:p>
    <w:p>
      <w:pPr>
        <w:spacing w:line="360" w:lineRule="auto"/>
        <w:ind w:firstLine="419" w:firstLineChars="149"/>
        <w:jc w:val="center"/>
        <w:rPr>
          <w:b/>
          <w:sz w:val="28"/>
        </w:rPr>
      </w:pPr>
      <w:r>
        <w:rPr>
          <w:rFonts w:hint="eastAsia"/>
          <w:b/>
          <w:sz w:val="28"/>
        </w:rPr>
        <w:t>公筷益走迎大运报名回执</w:t>
      </w:r>
    </w:p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2551"/>
        <w:gridCol w:w="641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企业名称</w:t>
            </w:r>
          </w:p>
        </w:tc>
        <w:tc>
          <w:tcPr>
            <w:tcW w:w="3192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</w:t>
            </w:r>
            <w:r>
              <w:rPr>
                <w:b/>
                <w:sz w:val="24"/>
              </w:rPr>
              <w:t>负责人姓名</w:t>
            </w:r>
          </w:p>
        </w:tc>
        <w:tc>
          <w:tcPr>
            <w:tcW w:w="332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192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32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5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参赛队名</w:t>
            </w:r>
            <w:r>
              <w:rPr>
                <w:rFonts w:hint="eastAsia"/>
                <w:b/>
                <w:sz w:val="24"/>
              </w:rPr>
              <w:t>（不超过7个字）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5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5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参与活动团队名单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3827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3969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  <w:r>
              <w:rPr>
                <w:rFonts w:hint="eastAsia"/>
                <w:b/>
                <w:sz w:val="24"/>
              </w:rPr>
              <w:t>（组队要求：3男3女）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7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27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1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27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27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827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827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pPr>
        <w:pStyle w:val="9"/>
        <w:spacing w:line="360" w:lineRule="auto"/>
        <w:ind w:left="480" w:firstLine="480"/>
        <w:rPr>
          <w:sz w:val="24"/>
        </w:rPr>
      </w:pPr>
      <w:r>
        <w:rPr>
          <w:rFonts w:hint="eastAsia"/>
          <w:sz w:val="24"/>
        </w:rPr>
        <w:t>请将参会回执填写好后，</w:t>
      </w:r>
      <w:r>
        <w:fldChar w:fldCharType="begin"/>
      </w:r>
      <w:r>
        <w:instrText xml:space="preserve"> HYPERLINK "mailto:于2020年11月7日之前发送到cpse@uestc.edu.cn" </w:instrText>
      </w:r>
      <w:r>
        <w:fldChar w:fldCharType="separate"/>
      </w:r>
      <w:r>
        <w:rPr>
          <w:rStyle w:val="8"/>
          <w:rFonts w:hint="eastAsia"/>
          <w:sz w:val="24"/>
        </w:rPr>
        <w:t>于2020年11月7日之前发送到2070273263@qq.com</w:t>
      </w:r>
      <w:r>
        <w:rPr>
          <w:rStyle w:val="8"/>
          <w:rFonts w:hint="eastAsia"/>
          <w:sz w:val="24"/>
        </w:rPr>
        <w:fldChar w:fldCharType="end"/>
      </w:r>
      <w:r>
        <w:rPr>
          <w:rFonts w:hint="eastAsia"/>
          <w:sz w:val="24"/>
        </w:rPr>
        <w:t>，或发送到以下微信。</w:t>
      </w:r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6"/>
    <w:rsid w:val="00060077"/>
    <w:rsid w:val="000C7328"/>
    <w:rsid w:val="00170CCD"/>
    <w:rsid w:val="001B76D6"/>
    <w:rsid w:val="001E48A8"/>
    <w:rsid w:val="00221A9B"/>
    <w:rsid w:val="00257FE1"/>
    <w:rsid w:val="00294AE2"/>
    <w:rsid w:val="002A1464"/>
    <w:rsid w:val="002D6D9D"/>
    <w:rsid w:val="002F4EC9"/>
    <w:rsid w:val="00344B8C"/>
    <w:rsid w:val="00346CD8"/>
    <w:rsid w:val="003D0F7E"/>
    <w:rsid w:val="003D502E"/>
    <w:rsid w:val="0040618F"/>
    <w:rsid w:val="004140D4"/>
    <w:rsid w:val="004D42E3"/>
    <w:rsid w:val="00522C7B"/>
    <w:rsid w:val="00534F7F"/>
    <w:rsid w:val="00577F67"/>
    <w:rsid w:val="005867A5"/>
    <w:rsid w:val="00587AFC"/>
    <w:rsid w:val="00616DBC"/>
    <w:rsid w:val="00634721"/>
    <w:rsid w:val="0064744F"/>
    <w:rsid w:val="006733F0"/>
    <w:rsid w:val="006A3187"/>
    <w:rsid w:val="0079024A"/>
    <w:rsid w:val="007F3179"/>
    <w:rsid w:val="008D3975"/>
    <w:rsid w:val="009226EE"/>
    <w:rsid w:val="00955682"/>
    <w:rsid w:val="009B5C98"/>
    <w:rsid w:val="009D7118"/>
    <w:rsid w:val="009F596B"/>
    <w:rsid w:val="009F7CCE"/>
    <w:rsid w:val="00A037F6"/>
    <w:rsid w:val="00A22FCA"/>
    <w:rsid w:val="00A30BA7"/>
    <w:rsid w:val="00A64810"/>
    <w:rsid w:val="00A80CFB"/>
    <w:rsid w:val="00A92033"/>
    <w:rsid w:val="00AA3F0A"/>
    <w:rsid w:val="00B03486"/>
    <w:rsid w:val="00B22071"/>
    <w:rsid w:val="00B4064F"/>
    <w:rsid w:val="00B715B8"/>
    <w:rsid w:val="00B91F16"/>
    <w:rsid w:val="00BB1755"/>
    <w:rsid w:val="00BE6D66"/>
    <w:rsid w:val="00C402D7"/>
    <w:rsid w:val="00CE1C7D"/>
    <w:rsid w:val="00DB38F8"/>
    <w:rsid w:val="00E251D1"/>
    <w:rsid w:val="00E2627B"/>
    <w:rsid w:val="00E57959"/>
    <w:rsid w:val="00E61C09"/>
    <w:rsid w:val="00F23D0D"/>
    <w:rsid w:val="00F37F4B"/>
    <w:rsid w:val="00F713F2"/>
    <w:rsid w:val="00F97F7C"/>
    <w:rsid w:val="00FA3110"/>
    <w:rsid w:val="0B38374D"/>
    <w:rsid w:val="28E94C44"/>
    <w:rsid w:val="2D9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2020-10-27T02:21:00Z</dcterms:created>
  <dc:creator>Wang Ying</dc:creator>
  <cp:lastModifiedBy>WPS_194922438</cp:lastModifiedBy>
  <dcterms:modified xsi:type="dcterms:W3CDTF">2020-11-04T06:45:22Z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